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sz w:val="44"/>
          <w:szCs w:val="44"/>
        </w:rPr>
      </w:pPr>
      <w:r>
        <w:rPr>
          <w:rFonts w:hint="eastAsia"/>
          <w:b/>
          <w:sz w:val="44"/>
          <w:szCs w:val="44"/>
          <w:lang w:eastAsia="zh-CN"/>
        </w:rPr>
        <w:t>甘肃卫生职业学院</w:t>
      </w:r>
      <w:r>
        <w:rPr>
          <w:rFonts w:hint="eastAsia"/>
          <w:b/>
          <w:sz w:val="44"/>
          <w:szCs w:val="44"/>
        </w:rPr>
        <w:t>邀请职教专家</w:t>
      </w:r>
    </w:p>
    <w:p>
      <w:pPr>
        <w:jc w:val="center"/>
        <w:rPr>
          <w:b/>
          <w:sz w:val="32"/>
          <w:szCs w:val="32"/>
        </w:rPr>
      </w:pPr>
      <w:r>
        <w:rPr>
          <w:rFonts w:hint="eastAsia"/>
          <w:b/>
          <w:sz w:val="44"/>
          <w:szCs w:val="44"/>
        </w:rPr>
        <w:t>丁金昌教授来校作专题讲座</w:t>
      </w:r>
    </w:p>
    <w:p>
      <w:pPr>
        <w:ind w:firstLine="640" w:firstLineChars="200"/>
        <w:rPr>
          <w:rFonts w:hint="eastAsia" w:ascii="仿宋_GB2312" w:hAnsi="仿宋_GB2312" w:eastAsia="仿宋_GB2312" w:cs="仿宋_GB2312"/>
          <w:color w:val="333333"/>
          <w:sz w:val="32"/>
          <w:szCs w:val="32"/>
        </w:rPr>
      </w:pPr>
    </w:p>
    <w:p>
      <w:pPr>
        <w:ind w:firstLine="640" w:firstLineChars="200"/>
        <w:rPr>
          <w:rFonts w:ascii="仿宋" w:hAnsi="仿宋" w:eastAsia="仿宋"/>
          <w:sz w:val="32"/>
          <w:szCs w:val="32"/>
        </w:rPr>
      </w:pPr>
      <w:bookmarkStart w:id="0" w:name="_GoBack"/>
      <w:bookmarkEnd w:id="0"/>
      <w:r>
        <w:rPr>
          <w:rFonts w:hint="eastAsia" w:ascii="仿宋_GB2312" w:hAnsi="仿宋_GB2312" w:eastAsia="仿宋_GB2312" w:cs="仿宋_GB2312"/>
          <w:color w:val="333333"/>
          <w:sz w:val="32"/>
          <w:szCs w:val="32"/>
        </w:rPr>
        <w:t>为落实20</w:t>
      </w:r>
      <w:r>
        <w:rPr>
          <w:rFonts w:ascii="仿宋_GB2312" w:hAnsi="仿宋_GB2312" w:eastAsia="仿宋_GB2312" w:cs="仿宋_GB2312"/>
          <w:color w:val="333333"/>
          <w:sz w:val="32"/>
          <w:szCs w:val="32"/>
        </w:rPr>
        <w:t>20</w:t>
      </w:r>
      <w:r>
        <w:rPr>
          <w:rFonts w:hint="eastAsia" w:ascii="仿宋_GB2312" w:hAnsi="仿宋_GB2312" w:eastAsia="仿宋_GB2312" w:cs="仿宋_GB2312"/>
          <w:color w:val="333333"/>
          <w:sz w:val="32"/>
          <w:szCs w:val="32"/>
        </w:rPr>
        <w:t>年职业教育活动周宣传工作，在全社会弘扬劳动光荣、技能宝贵、创造伟大的时代风尚，形成“崇尚一技之长，不唯学历凭能力”的良好氛围，我校结合学校职业教育发展实际，从</w:t>
      </w:r>
      <w:r>
        <w:rPr>
          <w:rFonts w:ascii="仿宋_GB2312" w:hAnsi="仿宋_GB2312" w:eastAsia="仿宋_GB2312" w:cs="仿宋_GB2312"/>
          <w:color w:val="333333"/>
          <w:sz w:val="32"/>
          <w:szCs w:val="32"/>
        </w:rPr>
        <w:t>9</w:t>
      </w:r>
      <w:r>
        <w:rPr>
          <w:rFonts w:hint="eastAsia" w:ascii="仿宋_GB2312" w:hAnsi="仿宋_GB2312" w:eastAsia="仿宋_GB2312" w:cs="仿宋_GB2312"/>
          <w:color w:val="333333"/>
          <w:sz w:val="32"/>
          <w:szCs w:val="32"/>
        </w:rPr>
        <w:t>月开始认真扎实开展了以“</w:t>
      </w:r>
      <w:r>
        <w:rPr>
          <w:rFonts w:hint="eastAsia" w:eastAsia="仿宋"/>
          <w:sz w:val="32"/>
          <w:szCs w:val="32"/>
        </w:rPr>
        <w:t>人人出彩</w:t>
      </w:r>
      <w:r>
        <w:rPr>
          <w:rFonts w:eastAsia="仿宋"/>
          <w:sz w:val="32"/>
          <w:szCs w:val="32"/>
        </w:rPr>
        <w:t>，技能强国</w:t>
      </w:r>
      <w:r>
        <w:rPr>
          <w:rFonts w:hint="eastAsia" w:ascii="仿宋_GB2312" w:hAnsi="仿宋_GB2312" w:eastAsia="仿宋_GB2312" w:cs="仿宋_GB2312"/>
          <w:color w:val="333333"/>
          <w:sz w:val="32"/>
          <w:szCs w:val="32"/>
        </w:rPr>
        <w:t>”为主题的职业教育活动月系列活动，活动延续到</w:t>
      </w:r>
      <w:r>
        <w:rPr>
          <w:rFonts w:ascii="仿宋_GB2312" w:hAnsi="仿宋_GB2312" w:eastAsia="仿宋_GB2312" w:cs="仿宋_GB2312"/>
          <w:color w:val="333333"/>
          <w:sz w:val="32"/>
          <w:szCs w:val="32"/>
        </w:rPr>
        <w:t>11</w:t>
      </w:r>
      <w:r>
        <w:rPr>
          <w:rFonts w:hint="eastAsia" w:ascii="仿宋_GB2312" w:hAnsi="仿宋_GB2312" w:eastAsia="仿宋_GB2312" w:cs="仿宋_GB2312"/>
          <w:color w:val="333333"/>
          <w:sz w:val="32"/>
          <w:szCs w:val="32"/>
        </w:rPr>
        <w:t>月中旬。</w:t>
      </w:r>
    </w:p>
    <w:p>
      <w:pPr>
        <w:ind w:firstLine="640" w:firstLineChars="200"/>
        <w:rPr>
          <w:rFonts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为进一步推动我校申报省级高水平高职学校和</w:t>
      </w:r>
      <w:r>
        <w:rPr>
          <w:rFonts w:ascii="仿宋_GB2312" w:hAnsi="仿宋_GB2312" w:eastAsia="仿宋_GB2312" w:cs="仿宋_GB2312"/>
          <w:color w:val="333333"/>
          <w:sz w:val="32"/>
          <w:szCs w:val="32"/>
        </w:rPr>
        <w:t>专业群建设</w:t>
      </w:r>
      <w:r>
        <w:rPr>
          <w:rFonts w:hint="eastAsia" w:ascii="仿宋_GB2312" w:hAnsi="仿宋_GB2312" w:eastAsia="仿宋_GB2312" w:cs="仿宋_GB2312"/>
          <w:color w:val="333333"/>
          <w:sz w:val="32"/>
          <w:szCs w:val="32"/>
        </w:rPr>
        <w:t>工作，</w:t>
      </w:r>
      <w:r>
        <w:rPr>
          <w:rFonts w:ascii="仿宋_GB2312" w:hAnsi="仿宋_GB2312" w:eastAsia="仿宋_GB2312" w:cs="仿宋_GB2312"/>
          <w:color w:val="333333"/>
          <w:sz w:val="32"/>
          <w:szCs w:val="32"/>
        </w:rPr>
        <w:t>11</w:t>
      </w:r>
      <w:r>
        <w:rPr>
          <w:rFonts w:hint="eastAsia" w:ascii="仿宋_GB2312" w:hAnsi="仿宋_GB2312" w:eastAsia="仿宋_GB2312" w:cs="仿宋_GB2312"/>
          <w:color w:val="333333"/>
          <w:sz w:val="32"/>
          <w:szCs w:val="32"/>
        </w:rPr>
        <w:t>月</w:t>
      </w:r>
      <w:r>
        <w:rPr>
          <w:rFonts w:ascii="仿宋_GB2312" w:hAnsi="仿宋_GB2312" w:eastAsia="仿宋_GB2312" w:cs="仿宋_GB2312"/>
          <w:color w:val="333333"/>
          <w:sz w:val="32"/>
          <w:szCs w:val="32"/>
        </w:rPr>
        <w:t>10</w:t>
      </w:r>
      <w:r>
        <w:rPr>
          <w:rFonts w:hint="eastAsia" w:ascii="仿宋_GB2312" w:hAnsi="仿宋_GB2312" w:eastAsia="仿宋_GB2312" w:cs="仿宋_GB2312"/>
          <w:color w:val="333333"/>
          <w:sz w:val="32"/>
          <w:szCs w:val="32"/>
        </w:rPr>
        <w:t>日，我校邀请全国著名职教专家、中国职业</w:t>
      </w:r>
      <w:r>
        <w:rPr>
          <w:rFonts w:ascii="仿宋_GB2312" w:hAnsi="仿宋_GB2312" w:eastAsia="仿宋_GB2312" w:cs="仿宋_GB2312"/>
          <w:color w:val="333333"/>
          <w:sz w:val="32"/>
          <w:szCs w:val="32"/>
        </w:rPr>
        <w:t>技术教育学会副会长、中国职教学会高职分会会长</w:t>
      </w:r>
      <w:r>
        <w:rPr>
          <w:rFonts w:hint="eastAsia" w:ascii="仿宋_GB2312" w:hAnsi="仿宋_GB2312" w:eastAsia="仿宋_GB2312" w:cs="仿宋_GB2312"/>
          <w:color w:val="333333"/>
          <w:sz w:val="32"/>
          <w:szCs w:val="32"/>
        </w:rPr>
        <w:t>丁金昌教授作了</w:t>
      </w:r>
      <w:r>
        <w:rPr>
          <w:rFonts w:ascii="仿宋_GB2312" w:hAnsi="仿宋_GB2312" w:eastAsia="仿宋_GB2312" w:cs="仿宋_GB2312"/>
          <w:color w:val="333333"/>
          <w:sz w:val="32"/>
          <w:szCs w:val="32"/>
        </w:rPr>
        <w:t>题目为</w:t>
      </w:r>
      <w:r>
        <w:rPr>
          <w:rFonts w:hint="eastAsia" w:ascii="仿宋_GB2312" w:hAnsi="仿宋_GB2312" w:eastAsia="仿宋_GB2312" w:cs="仿宋_GB2312"/>
          <w:color w:val="333333"/>
          <w:sz w:val="32"/>
          <w:szCs w:val="32"/>
        </w:rPr>
        <w:t>“省级</w:t>
      </w:r>
      <w:r>
        <w:rPr>
          <w:rFonts w:ascii="仿宋_GB2312" w:hAnsi="仿宋_GB2312" w:eastAsia="仿宋_GB2312" w:cs="仿宋_GB2312"/>
          <w:color w:val="333333"/>
          <w:sz w:val="32"/>
          <w:szCs w:val="32"/>
        </w:rPr>
        <w:t>‘</w:t>
      </w:r>
      <w:r>
        <w:rPr>
          <w:rFonts w:hint="eastAsia" w:ascii="仿宋_GB2312" w:hAnsi="仿宋_GB2312" w:eastAsia="仿宋_GB2312" w:cs="仿宋_GB2312"/>
          <w:color w:val="333333"/>
          <w:sz w:val="32"/>
          <w:szCs w:val="32"/>
        </w:rPr>
        <w:t xml:space="preserve"> 双高</w:t>
      </w:r>
      <w:r>
        <w:rPr>
          <w:rFonts w:ascii="仿宋_GB2312" w:hAnsi="仿宋_GB2312" w:eastAsia="仿宋_GB2312" w:cs="仿宋_GB2312"/>
          <w:color w:val="333333"/>
          <w:sz w:val="32"/>
          <w:szCs w:val="32"/>
        </w:rPr>
        <w:t>’</w:t>
      </w:r>
      <w:r>
        <w:rPr>
          <w:rFonts w:hint="eastAsia" w:ascii="仿宋_GB2312" w:hAnsi="仿宋_GB2312" w:eastAsia="仿宋_GB2312" w:cs="仿宋_GB2312"/>
          <w:color w:val="333333"/>
          <w:sz w:val="32"/>
          <w:szCs w:val="32"/>
        </w:rPr>
        <w:t>双高</w:t>
      </w:r>
      <w:r>
        <w:rPr>
          <w:rFonts w:ascii="仿宋_GB2312" w:hAnsi="仿宋_GB2312" w:eastAsia="仿宋_GB2312" w:cs="仿宋_GB2312"/>
          <w:color w:val="333333"/>
          <w:sz w:val="32"/>
          <w:szCs w:val="32"/>
        </w:rPr>
        <w:t>计划实施背景下</w:t>
      </w:r>
      <w:r>
        <w:rPr>
          <w:rFonts w:hint="eastAsia" w:ascii="仿宋_GB2312" w:hAnsi="仿宋_GB2312" w:eastAsia="仿宋_GB2312" w:cs="仿宋_GB2312"/>
          <w:color w:val="333333"/>
          <w:sz w:val="32"/>
          <w:szCs w:val="32"/>
        </w:rPr>
        <w:t>高职院校</w:t>
      </w:r>
      <w:r>
        <w:rPr>
          <w:rFonts w:ascii="仿宋_GB2312" w:hAnsi="仿宋_GB2312" w:eastAsia="仿宋_GB2312" w:cs="仿宋_GB2312"/>
          <w:color w:val="333333"/>
          <w:sz w:val="32"/>
          <w:szCs w:val="32"/>
        </w:rPr>
        <w:t>双高建设的思考</w:t>
      </w:r>
      <w:r>
        <w:rPr>
          <w:rFonts w:hint="eastAsia" w:ascii="仿宋_GB2312" w:hAnsi="仿宋_GB2312" w:eastAsia="仿宋_GB2312" w:cs="仿宋_GB2312"/>
          <w:color w:val="333333"/>
          <w:sz w:val="32"/>
          <w:szCs w:val="32"/>
        </w:rPr>
        <w:t>”的专题讲座。党委书记姜德民，校长任晖，副校长康逢民、毕效武，纪委书记刘斌，副校长</w:t>
      </w:r>
      <w:r>
        <w:rPr>
          <w:rFonts w:ascii="仿宋_GB2312" w:hAnsi="仿宋_GB2312" w:eastAsia="仿宋_GB2312" w:cs="仿宋_GB2312"/>
          <w:color w:val="333333"/>
          <w:sz w:val="32"/>
          <w:szCs w:val="32"/>
        </w:rPr>
        <w:t>高博、黄刚</w:t>
      </w:r>
      <w:r>
        <w:rPr>
          <w:rFonts w:hint="eastAsia" w:ascii="仿宋_GB2312" w:hAnsi="仿宋_GB2312" w:eastAsia="仿宋_GB2312" w:cs="仿宋_GB2312"/>
          <w:color w:val="333333"/>
          <w:sz w:val="32"/>
          <w:szCs w:val="32"/>
        </w:rPr>
        <w:t>以及全校专兼职教师到场聆听。讲座</w:t>
      </w:r>
      <w:r>
        <w:rPr>
          <w:rFonts w:ascii="仿宋_GB2312" w:hAnsi="仿宋_GB2312" w:eastAsia="仿宋_GB2312" w:cs="仿宋_GB2312"/>
          <w:color w:val="333333"/>
          <w:sz w:val="32"/>
          <w:szCs w:val="32"/>
        </w:rPr>
        <w:t>由</w:t>
      </w:r>
      <w:r>
        <w:rPr>
          <w:rFonts w:hint="eastAsia" w:ascii="仿宋_GB2312" w:hAnsi="仿宋_GB2312" w:eastAsia="仿宋_GB2312" w:cs="仿宋_GB2312"/>
          <w:color w:val="333333"/>
          <w:sz w:val="32"/>
          <w:szCs w:val="32"/>
        </w:rPr>
        <w:t>任晖校长主持。</w:t>
      </w:r>
    </w:p>
    <w:p>
      <w:pPr>
        <w:jc w:val="left"/>
        <w:rPr>
          <w:rFonts w:hint="eastAsia" w:ascii="仿宋" w:hAnsi="仿宋" w:eastAsia="仿宋"/>
          <w:sz w:val="32"/>
          <w:szCs w:val="32"/>
        </w:rPr>
      </w:pPr>
      <w:r>
        <w:rPr>
          <w:rFonts w:ascii="仿宋" w:hAnsi="仿宋" w:eastAsia="仿宋"/>
          <w:sz w:val="32"/>
          <w:szCs w:val="32"/>
        </w:rPr>
        <w:drawing>
          <wp:inline distT="0" distB="0" distL="0" distR="0">
            <wp:extent cx="5274310" cy="2965450"/>
            <wp:effectExtent l="0" t="0" r="2540" b="6350"/>
            <wp:docPr id="2" name="图片 2" descr="C:\Users\16987\Desktop\职业教育周\新建文件夹\星期五\微信图片_202011111143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16987\Desktop\职业教育周\新建文件夹\星期五\微信图片_20201111114346.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a:xfrm>
                      <a:off x="0" y="0"/>
                      <a:ext cx="5274310" cy="2965746"/>
                    </a:xfrm>
                    <a:prstGeom prst="rect">
                      <a:avLst/>
                    </a:prstGeom>
                    <a:noFill/>
                    <a:ln>
                      <a:noFill/>
                    </a:ln>
                  </pic:spPr>
                </pic:pic>
              </a:graphicData>
            </a:graphic>
          </wp:inline>
        </w:drawing>
      </w:r>
    </w:p>
    <w:p>
      <w:pPr>
        <w:widowControl/>
        <w:shd w:val="clear" w:color="auto" w:fill="FFFFFF"/>
        <w:ind w:firstLine="640" w:firstLineChars="200"/>
        <w:rPr>
          <w:rFonts w:ascii="仿宋" w:hAnsi="仿宋" w:eastAsia="仿宋"/>
          <w:sz w:val="32"/>
          <w:szCs w:val="32"/>
        </w:rPr>
      </w:pPr>
      <w:r>
        <w:rPr>
          <w:rFonts w:hint="eastAsia" w:ascii="仿宋" w:hAnsi="仿宋" w:eastAsia="仿宋"/>
          <w:sz w:val="32"/>
          <w:szCs w:val="32"/>
        </w:rPr>
        <w:t>丁金昌教授以专家学者的独特视角，从高职“双高”建设</w:t>
      </w:r>
      <w:r>
        <w:rPr>
          <w:rFonts w:ascii="仿宋" w:hAnsi="仿宋" w:eastAsia="仿宋"/>
          <w:sz w:val="32"/>
          <w:szCs w:val="32"/>
        </w:rPr>
        <w:t>的内涵和存在的问题</w:t>
      </w:r>
      <w:r>
        <w:rPr>
          <w:rFonts w:hint="eastAsia" w:ascii="仿宋" w:hAnsi="仿宋" w:eastAsia="仿宋"/>
          <w:sz w:val="32"/>
          <w:szCs w:val="32"/>
        </w:rPr>
        <w:t>，高职专业群的</w:t>
      </w:r>
      <w:r>
        <w:rPr>
          <w:rFonts w:ascii="仿宋" w:hAnsi="仿宋" w:eastAsia="仿宋"/>
          <w:sz w:val="32"/>
          <w:szCs w:val="32"/>
        </w:rPr>
        <w:t>概念与结构的逻辑性</w:t>
      </w:r>
      <w:r>
        <w:rPr>
          <w:rFonts w:hint="eastAsia" w:ascii="仿宋" w:hAnsi="仿宋" w:eastAsia="仿宋"/>
          <w:sz w:val="32"/>
          <w:szCs w:val="32"/>
        </w:rPr>
        <w:t>，推进高职</w:t>
      </w:r>
      <w:r>
        <w:rPr>
          <w:rFonts w:ascii="仿宋" w:hAnsi="仿宋" w:eastAsia="仿宋"/>
          <w:sz w:val="32"/>
          <w:szCs w:val="32"/>
        </w:rPr>
        <w:t>“</w:t>
      </w:r>
      <w:r>
        <w:rPr>
          <w:rFonts w:hint="eastAsia" w:ascii="仿宋" w:hAnsi="仿宋" w:eastAsia="仿宋"/>
          <w:sz w:val="32"/>
          <w:szCs w:val="32"/>
        </w:rPr>
        <w:t>双高</w:t>
      </w:r>
      <w:r>
        <w:rPr>
          <w:rFonts w:ascii="仿宋" w:hAnsi="仿宋" w:eastAsia="仿宋"/>
          <w:sz w:val="32"/>
          <w:szCs w:val="32"/>
        </w:rPr>
        <w:t>”</w:t>
      </w:r>
      <w:r>
        <w:rPr>
          <w:rFonts w:hint="eastAsia" w:ascii="仿宋" w:hAnsi="仿宋" w:eastAsia="仿宋"/>
          <w:sz w:val="32"/>
          <w:szCs w:val="32"/>
        </w:rPr>
        <w:t>建设</w:t>
      </w:r>
      <w:r>
        <w:rPr>
          <w:rFonts w:ascii="仿宋" w:hAnsi="仿宋" w:eastAsia="仿宋"/>
          <w:sz w:val="32"/>
          <w:szCs w:val="32"/>
        </w:rPr>
        <w:t>的基本思路</w:t>
      </w:r>
      <w:r>
        <w:rPr>
          <w:rFonts w:hint="eastAsia" w:ascii="仿宋" w:hAnsi="仿宋" w:eastAsia="仿宋"/>
          <w:sz w:val="32"/>
          <w:szCs w:val="32"/>
        </w:rPr>
        <w:t>等</w:t>
      </w:r>
      <w:r>
        <w:rPr>
          <w:rFonts w:ascii="仿宋" w:hAnsi="仿宋" w:eastAsia="仿宋"/>
          <w:sz w:val="32"/>
          <w:szCs w:val="32"/>
        </w:rPr>
        <w:t>三个</w:t>
      </w:r>
      <w:r>
        <w:rPr>
          <w:rFonts w:hint="eastAsia" w:ascii="仿宋" w:hAnsi="仿宋" w:eastAsia="仿宋"/>
          <w:sz w:val="32"/>
          <w:szCs w:val="32"/>
        </w:rPr>
        <w:t>方面，深入浅出地诠释了“双高”高职学校和</w:t>
      </w:r>
      <w:r>
        <w:rPr>
          <w:rFonts w:ascii="仿宋" w:hAnsi="仿宋" w:eastAsia="仿宋"/>
          <w:sz w:val="32"/>
          <w:szCs w:val="32"/>
        </w:rPr>
        <w:t>专业群</w:t>
      </w:r>
      <w:r>
        <w:rPr>
          <w:rFonts w:hint="eastAsia" w:ascii="仿宋" w:hAnsi="仿宋" w:eastAsia="仿宋"/>
          <w:sz w:val="32"/>
          <w:szCs w:val="32"/>
        </w:rPr>
        <w:t>建设的深刻内涵，他以多个案例</w:t>
      </w:r>
      <w:r>
        <w:rPr>
          <w:rFonts w:ascii="仿宋" w:hAnsi="仿宋" w:eastAsia="仿宋"/>
          <w:sz w:val="32"/>
          <w:szCs w:val="32"/>
        </w:rPr>
        <w:t>为</w:t>
      </w:r>
      <w:r>
        <w:rPr>
          <w:rFonts w:hint="eastAsia" w:ascii="仿宋" w:hAnsi="仿宋" w:eastAsia="仿宋"/>
          <w:sz w:val="32"/>
          <w:szCs w:val="32"/>
        </w:rPr>
        <w:t>着力点，阐述了高职</w:t>
      </w:r>
      <w:r>
        <w:rPr>
          <w:rFonts w:ascii="仿宋" w:hAnsi="仿宋" w:eastAsia="仿宋"/>
          <w:sz w:val="32"/>
          <w:szCs w:val="32"/>
        </w:rPr>
        <w:t>“</w:t>
      </w:r>
      <w:r>
        <w:rPr>
          <w:rFonts w:hint="eastAsia" w:ascii="仿宋" w:hAnsi="仿宋" w:eastAsia="仿宋"/>
          <w:sz w:val="32"/>
          <w:szCs w:val="32"/>
        </w:rPr>
        <w:t>双高</w:t>
      </w:r>
      <w:r>
        <w:rPr>
          <w:rFonts w:ascii="仿宋" w:hAnsi="仿宋" w:eastAsia="仿宋"/>
          <w:sz w:val="32"/>
          <w:szCs w:val="32"/>
        </w:rPr>
        <w:t>”</w:t>
      </w:r>
      <w:r>
        <w:rPr>
          <w:rFonts w:hint="eastAsia" w:ascii="仿宋" w:hAnsi="仿宋" w:eastAsia="仿宋"/>
          <w:sz w:val="32"/>
          <w:szCs w:val="32"/>
        </w:rPr>
        <w:t>建设</w:t>
      </w:r>
      <w:r>
        <w:rPr>
          <w:rFonts w:ascii="仿宋" w:hAnsi="仿宋" w:eastAsia="仿宋"/>
          <w:sz w:val="32"/>
          <w:szCs w:val="32"/>
        </w:rPr>
        <w:t>的内涵</w:t>
      </w:r>
      <w:r>
        <w:rPr>
          <w:rFonts w:hint="eastAsia" w:ascii="仿宋" w:hAnsi="仿宋" w:eastAsia="仿宋"/>
          <w:sz w:val="32"/>
          <w:szCs w:val="32"/>
        </w:rPr>
        <w:t>及其存在的困惑。丁教授以一位教育者的睿智，实践者的识见，职教者的责任，围绕着什么是高职学校“专业群”，</w:t>
      </w:r>
      <w:r>
        <w:rPr>
          <w:rFonts w:ascii="仿宋" w:hAnsi="仿宋" w:eastAsia="仿宋"/>
          <w:sz w:val="32"/>
          <w:szCs w:val="32"/>
        </w:rPr>
        <w:t>如何</w:t>
      </w:r>
      <w:r>
        <w:rPr>
          <w:rFonts w:hint="eastAsia" w:ascii="仿宋" w:hAnsi="仿宋" w:eastAsia="仿宋"/>
          <w:sz w:val="32"/>
          <w:szCs w:val="32"/>
        </w:rPr>
        <w:t>对接产业办专业，如何建设“双高”计划等一系列</w:t>
      </w:r>
      <w:r>
        <w:rPr>
          <w:rFonts w:ascii="仿宋" w:hAnsi="仿宋" w:eastAsia="仿宋"/>
          <w:sz w:val="32"/>
          <w:szCs w:val="32"/>
        </w:rPr>
        <w:t>问题</w:t>
      </w:r>
      <w:r>
        <w:rPr>
          <w:rFonts w:hint="eastAsia" w:ascii="仿宋" w:hAnsi="仿宋" w:eastAsia="仿宋"/>
          <w:sz w:val="32"/>
          <w:szCs w:val="32"/>
        </w:rPr>
        <w:t>，呈现了一场堪称完美的讲座，提高了全校教师对“双高”建设的深入认识，得到了全校教师的一致好评。</w:t>
      </w:r>
    </w:p>
    <w:p>
      <w:pPr>
        <w:widowControl/>
        <w:shd w:val="clear" w:color="auto" w:fill="FFFFFF"/>
        <w:rPr>
          <w:rFonts w:hint="eastAsia" w:ascii="仿宋" w:hAnsi="仿宋" w:eastAsia="仿宋"/>
          <w:sz w:val="32"/>
          <w:szCs w:val="32"/>
        </w:rPr>
      </w:pPr>
      <w:r>
        <w:rPr>
          <w:rFonts w:ascii="仿宋" w:hAnsi="仿宋" w:eastAsia="仿宋"/>
          <w:sz w:val="32"/>
          <w:szCs w:val="32"/>
        </w:rPr>
        <w:drawing>
          <wp:inline distT="0" distB="0" distL="0" distR="0">
            <wp:extent cx="5274310" cy="3515995"/>
            <wp:effectExtent l="0" t="0" r="2540" b="8255"/>
            <wp:docPr id="3" name="图片 3" descr="C:\Users\16987\Desktop\职业教育周\新建文件夹\星期五\微信图片_202011111144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16987\Desktop\职业教育周\新建文件夹\星期五\微信图片_20201111114426.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5274310" cy="3516207"/>
                    </a:xfrm>
                    <a:prstGeom prst="rect">
                      <a:avLst/>
                    </a:prstGeom>
                    <a:noFill/>
                    <a:ln>
                      <a:noFill/>
                    </a:ln>
                  </pic:spPr>
                </pic:pic>
              </a:graphicData>
            </a:graphic>
          </wp:inline>
        </w:drawing>
      </w:r>
    </w:p>
    <w:p>
      <w:pPr>
        <w:widowControl/>
        <w:shd w:val="clear" w:color="auto" w:fill="FFFFFF"/>
        <w:ind w:firstLine="478"/>
        <w:rPr>
          <w:rFonts w:ascii="仿宋" w:hAnsi="仿宋" w:eastAsia="仿宋"/>
          <w:sz w:val="32"/>
          <w:szCs w:val="32"/>
        </w:rPr>
      </w:pPr>
      <w:r>
        <w:rPr>
          <w:rFonts w:hint="eastAsia" w:ascii="仿宋" w:hAnsi="仿宋" w:eastAsia="仿宋"/>
          <w:sz w:val="32"/>
          <w:szCs w:val="32"/>
        </w:rPr>
        <w:t>任晖校长代表学校对丁教授的精彩报告以及给予学校建设和发展的大力支持和帮助表达了诚挚的感谢。她希望全体教师针对丁教授所作的专题讲座进一步深入学习，将“双高”建设和学校内涵建设落实到行动上，切实推进教育教学改革，满足学生的需求，服务社会的需要，为学校争创省级高水平高职院校和</w:t>
      </w:r>
      <w:r>
        <w:rPr>
          <w:rFonts w:ascii="仿宋" w:hAnsi="仿宋" w:eastAsia="仿宋"/>
          <w:sz w:val="32"/>
          <w:szCs w:val="32"/>
        </w:rPr>
        <w:t>专业群</w:t>
      </w:r>
      <w:r>
        <w:rPr>
          <w:rFonts w:hint="eastAsia" w:ascii="仿宋" w:hAnsi="仿宋" w:eastAsia="仿宋"/>
          <w:sz w:val="32"/>
          <w:szCs w:val="32"/>
        </w:rPr>
        <w:t>奠定良好的基础。</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78A2"/>
    <w:rsid w:val="0002052D"/>
    <w:rsid w:val="001F7072"/>
    <w:rsid w:val="00231750"/>
    <w:rsid w:val="002737D1"/>
    <w:rsid w:val="002F06E7"/>
    <w:rsid w:val="00555D59"/>
    <w:rsid w:val="006E78A2"/>
    <w:rsid w:val="007234BA"/>
    <w:rsid w:val="00C02CA4"/>
    <w:rsid w:val="00C750E0"/>
    <w:rsid w:val="00D665FC"/>
    <w:rsid w:val="00EF2803"/>
    <w:rsid w:val="7C782C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7"/>
    <w:qFormat/>
    <w:uiPriority w:val="9"/>
    <w:pPr>
      <w:widowControl/>
      <w:spacing w:before="100" w:beforeAutospacing="1" w:after="100" w:afterAutospacing="1"/>
      <w:jc w:val="left"/>
      <w:outlineLvl w:val="1"/>
    </w:pPr>
    <w:rPr>
      <w:rFonts w:ascii="宋体" w:hAnsi="宋体" w:eastAsia="宋体" w:cs="宋体"/>
      <w:b/>
      <w:bCs/>
      <w:kern w:val="0"/>
      <w:sz w:val="36"/>
      <w:szCs w:val="36"/>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7">
    <w:name w:val="标题 2 Char"/>
    <w:basedOn w:val="6"/>
    <w:link w:val="2"/>
    <w:qFormat/>
    <w:uiPriority w:val="9"/>
    <w:rPr>
      <w:rFonts w:ascii="宋体" w:hAnsi="宋体" w:eastAsia="宋体" w:cs="宋体"/>
      <w:b/>
      <w:bCs/>
      <w:kern w:val="0"/>
      <w:sz w:val="36"/>
      <w:szCs w:val="36"/>
    </w:rPr>
  </w:style>
  <w:style w:type="character" w:customStyle="1" w:styleId="8">
    <w:name w:val="页眉 Char"/>
    <w:basedOn w:val="6"/>
    <w:link w:val="4"/>
    <w:uiPriority w:val="99"/>
    <w:rPr>
      <w:sz w:val="18"/>
      <w:szCs w:val="18"/>
    </w:rPr>
  </w:style>
  <w:style w:type="character" w:customStyle="1" w:styleId="9">
    <w:name w:val="页脚 Char"/>
    <w:basedOn w:val="6"/>
    <w:link w:val="3"/>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114</Words>
  <Characters>655</Characters>
  <Lines>5</Lines>
  <Paragraphs>1</Paragraphs>
  <TotalTime>31</TotalTime>
  <ScaleCrop>false</ScaleCrop>
  <LinksUpToDate>false</LinksUpToDate>
  <CharactersWithSpaces>768</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2020-11-10T10:41:00Z</dcterms:created>
  <dc:creator>刘军</dc:creator>
  <cp:lastModifiedBy>如一</cp:lastModifiedBy>
  <dcterms:modified xsi:type="dcterms:W3CDTF">2020-11-12T02:36:24Z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