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44"/>
          <w:szCs w:val="44"/>
        </w:rPr>
      </w:pPr>
      <w:r>
        <w:rPr>
          <w:rFonts w:hint="eastAsia" w:ascii="宋体" w:hAnsi="宋体"/>
          <w:b/>
          <w:bCs/>
          <w:sz w:val="44"/>
          <w:szCs w:val="44"/>
        </w:rPr>
        <w:t>甘肃机电职业技术学院</w:t>
      </w:r>
    </w:p>
    <w:p>
      <w:pPr>
        <w:jc w:val="center"/>
        <w:rPr>
          <w:rFonts w:hint="eastAsia" w:ascii="宋体" w:hAnsi="宋体"/>
          <w:b/>
          <w:bCs/>
          <w:sz w:val="44"/>
          <w:szCs w:val="44"/>
        </w:rPr>
      </w:pPr>
      <w:r>
        <w:rPr>
          <w:rFonts w:hint="eastAsia" w:ascii="宋体" w:hAnsi="宋体"/>
          <w:b/>
          <w:bCs/>
          <w:sz w:val="44"/>
          <w:szCs w:val="44"/>
        </w:rPr>
        <w:t>2020年职业教育活动周开展情况</w:t>
      </w:r>
    </w:p>
    <w:p>
      <w:pPr>
        <w:jc w:val="center"/>
        <w:rPr>
          <w:rFonts w:hint="eastAsia" w:ascii="仿宋_GB2312" w:hAnsi="仿宋_GB2312"/>
          <w:sz w:val="32"/>
          <w:szCs w:val="32"/>
        </w:rPr>
      </w:pPr>
      <w:r>
        <w:rPr>
          <w:rFonts w:ascii="仿宋_GB2312" w:hAnsi="仿宋_GB2312"/>
          <w:sz w:val="32"/>
          <w:szCs w:val="32"/>
        </w:rPr>
        <w:t>（2020年11月9日报送）</w:t>
      </w:r>
    </w:p>
    <w:p>
      <w:pPr>
        <w:jc w:val="center"/>
        <w:rPr>
          <w:rFonts w:ascii="仿宋_GB2312" w:hAnsi="仿宋_GB2312"/>
          <w:b/>
          <w:bCs/>
          <w:sz w:val="32"/>
          <w:szCs w:val="32"/>
        </w:rPr>
      </w:pPr>
      <w:r>
        <w:rPr>
          <w:rFonts w:ascii="仿宋_GB2312" w:hAnsi="仿宋_GB2312"/>
          <w:b/>
          <w:bCs/>
          <w:sz w:val="32"/>
          <w:szCs w:val="32"/>
        </w:rPr>
        <w:t xml:space="preserve"> </w:t>
      </w:r>
    </w:p>
    <w:p>
      <w:pPr>
        <w:jc w:val="center"/>
        <w:rPr>
          <w:rFonts w:ascii="仿宋_GB2312" w:hAnsi="仿宋_GB2312"/>
          <w:b/>
          <w:bCs/>
          <w:sz w:val="32"/>
          <w:szCs w:val="32"/>
        </w:rPr>
      </w:pPr>
      <w:r>
        <w:rPr>
          <w:rFonts w:ascii="仿宋_GB2312" w:hAnsi="仿宋_GB2312"/>
          <w:b/>
          <w:bCs/>
          <w:sz w:val="32"/>
          <w:szCs w:val="32"/>
        </w:rPr>
        <w:t>（一）</w:t>
      </w:r>
    </w:p>
    <w:p>
      <w:pPr>
        <w:ind w:firstLine="640"/>
        <w:jc w:val="left"/>
        <w:rPr>
          <w:rFonts w:ascii="仿宋_GB2312" w:hAnsi="仿宋_GB2312"/>
          <w:sz w:val="32"/>
          <w:szCs w:val="32"/>
        </w:rPr>
      </w:pPr>
      <w:r>
        <w:rPr>
          <w:rFonts w:ascii="仿宋_GB2312" w:hAnsi="仿宋_GB2312"/>
          <w:sz w:val="32"/>
          <w:szCs w:val="32"/>
        </w:rPr>
        <w:t>按照学院职教周活动安排，我院各教学系（部）结合实际，以不同的形式组织开展了2020年职教周活动。</w:t>
      </w:r>
    </w:p>
    <w:p>
      <w:pPr>
        <w:ind w:firstLine="640"/>
        <w:jc w:val="left"/>
        <w:rPr>
          <w:rFonts w:ascii="仿宋_GB2312" w:hAnsi="仿宋_GB2312"/>
          <w:sz w:val="32"/>
          <w:szCs w:val="32"/>
        </w:rPr>
      </w:pPr>
      <w:r>
        <w:rPr>
          <w:rFonts w:ascii="仿宋_GB2312" w:hAnsi="仿宋_GB2312"/>
          <w:sz w:val="32"/>
          <w:szCs w:val="32"/>
        </w:rPr>
        <w:t>11月8日下午，技师学院工作部召开2020年职业教育活动周启动会。会上，介绍了甘肃装备制造业技师学院拟参加天水市中等职业学校技能大赛项目和人数，并对兴趣小组、技能大赛的培训和选拔工作作了说明和要求。</w:t>
      </w:r>
    </w:p>
    <w:p>
      <w:pPr>
        <w:jc w:val="center"/>
        <w:rPr>
          <w:rFonts w:ascii="仿宋_GB2312" w:hAnsi="仿宋_GB2312"/>
          <w:sz w:val="32"/>
          <w:szCs w:val="32"/>
        </w:rPr>
      </w:pPr>
      <w:bookmarkStart w:id="0" w:name="_GoBack"/>
      <w:r>
        <w:drawing>
          <wp:inline distT="0" distB="0" distL="0" distR="0">
            <wp:extent cx="5266690" cy="3511550"/>
            <wp:effectExtent l="19050" t="0" r="0" b="0"/>
            <wp:docPr id="1" name="图片 1" descr="C:\Users\ADMINI~1\AppData\Local\Temp\ksohtml620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ksohtml6208\wps1.png"/>
                    <pic:cNvPicPr>
                      <a:picLocks noChangeAspect="1" noChangeArrowheads="1"/>
                    </pic:cNvPicPr>
                  </pic:nvPicPr>
                  <pic:blipFill>
                    <a:blip r:embed="rId4"/>
                    <a:srcRect/>
                    <a:stretch>
                      <a:fillRect/>
                    </a:stretch>
                  </pic:blipFill>
                  <pic:spPr>
                    <a:xfrm>
                      <a:off x="0" y="0"/>
                      <a:ext cx="5266690" cy="3511550"/>
                    </a:xfrm>
                    <a:prstGeom prst="rect">
                      <a:avLst/>
                    </a:prstGeom>
                    <a:noFill/>
                    <a:ln w="9525">
                      <a:noFill/>
                      <a:miter lim="800000"/>
                      <a:headEnd/>
                      <a:tailEnd/>
                    </a:ln>
                  </pic:spPr>
                </pic:pic>
              </a:graphicData>
            </a:graphic>
          </wp:inline>
        </w:drawing>
      </w:r>
      <w:bookmarkEnd w:id="0"/>
      <w:r>
        <w:rPr>
          <w:rFonts w:ascii="仿宋_GB2312" w:hAnsi="仿宋_GB2312"/>
          <w:sz w:val="32"/>
          <w:szCs w:val="32"/>
        </w:rPr>
        <w:t xml:space="preserve"> </w:t>
      </w:r>
    </w:p>
    <w:p>
      <w:pPr>
        <w:autoSpaceDE w:val="0"/>
        <w:spacing w:line="280" w:lineRule="exact"/>
        <w:jc w:val="center"/>
        <w:rPr>
          <w:rFonts w:ascii="楷体" w:hAnsi="楷体" w:eastAsia="楷体"/>
          <w:sz w:val="28"/>
          <w:szCs w:val="28"/>
        </w:rPr>
      </w:pPr>
      <w:r>
        <w:rPr>
          <w:rFonts w:hint="eastAsia" w:ascii="楷体" w:hAnsi="楷体" w:eastAsia="楷体"/>
          <w:sz w:val="28"/>
          <w:szCs w:val="28"/>
        </w:rPr>
        <w:t>技师学院工作部召开2020年职业教育活动周启动会，组织学习《甘肃机电职业技术学院2020年职业教育活动周实施方案》和《技师学院工作部2020年职业教育活动周实施方案》</w:t>
      </w:r>
    </w:p>
    <w:p>
      <w:pPr>
        <w:jc w:val="center"/>
        <w:rPr>
          <w:rFonts w:hint="eastAsia" w:ascii="楷体" w:hAnsi="楷体" w:eastAsia="楷体"/>
          <w:sz w:val="28"/>
          <w:szCs w:val="28"/>
        </w:rPr>
      </w:pPr>
      <w:r>
        <w:drawing>
          <wp:inline distT="0" distB="0" distL="0" distR="0">
            <wp:extent cx="5266690" cy="3950335"/>
            <wp:effectExtent l="19050" t="0" r="0" b="0"/>
            <wp:docPr id="2" name="图片 2" descr="C:\Users\ADMINI~1\AppData\Local\Temp\ksohtml6208\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ksohtml6208\wps2.png"/>
                    <pic:cNvPicPr>
                      <a:picLocks noChangeAspect="1" noChangeArrowheads="1"/>
                    </pic:cNvPicPr>
                  </pic:nvPicPr>
                  <pic:blipFill>
                    <a:blip r:embed="rId5"/>
                    <a:srcRect/>
                    <a:stretch>
                      <a:fillRect/>
                    </a:stretch>
                  </pic:blipFill>
                  <pic:spPr>
                    <a:xfrm>
                      <a:off x="0" y="0"/>
                      <a:ext cx="5266690" cy="3950335"/>
                    </a:xfrm>
                    <a:prstGeom prst="rect">
                      <a:avLst/>
                    </a:prstGeom>
                    <a:noFill/>
                    <a:ln w="9525">
                      <a:noFill/>
                      <a:miter lim="800000"/>
                      <a:headEnd/>
                      <a:tailEnd/>
                    </a:ln>
                  </pic:spPr>
                </pic:pic>
              </a:graphicData>
            </a:graphic>
          </wp:inline>
        </w:drawing>
      </w:r>
      <w:r>
        <w:rPr>
          <w:rFonts w:hint="eastAsia" w:ascii="楷体" w:hAnsi="楷体" w:eastAsia="楷体"/>
          <w:sz w:val="28"/>
          <w:szCs w:val="28"/>
        </w:rPr>
        <w:t xml:space="preserve"> </w:t>
      </w:r>
    </w:p>
    <w:p>
      <w:pPr>
        <w:autoSpaceDE w:val="0"/>
        <w:spacing w:line="280" w:lineRule="exact"/>
        <w:jc w:val="center"/>
        <w:rPr>
          <w:rFonts w:hint="eastAsia" w:ascii="楷体" w:hAnsi="楷体" w:eastAsia="楷体"/>
          <w:sz w:val="28"/>
          <w:szCs w:val="28"/>
        </w:rPr>
      </w:pPr>
      <w:r>
        <w:rPr>
          <w:rFonts w:hint="eastAsia" w:ascii="楷体" w:hAnsi="楷体" w:eastAsia="楷体"/>
          <w:sz w:val="28"/>
          <w:szCs w:val="28"/>
        </w:rPr>
        <w:t>工业机器人小组负责人向学生介绍专业赛项及培训思路、发展方向</w:t>
      </w:r>
    </w:p>
    <w:p>
      <w:pPr>
        <w:jc w:val="center"/>
        <w:rPr>
          <w:rFonts w:hint="eastAsia" w:ascii="仿宋_GB2312" w:hAnsi="仿宋_GB2312"/>
          <w:sz w:val="32"/>
          <w:szCs w:val="32"/>
        </w:rPr>
      </w:pPr>
      <w:r>
        <w:drawing>
          <wp:inline distT="0" distB="0" distL="0" distR="0">
            <wp:extent cx="5266690" cy="3950335"/>
            <wp:effectExtent l="19050" t="0" r="0" b="0"/>
            <wp:docPr id="3" name="图片 3" descr="C:\Users\ADMINI~1\AppData\Local\Temp\ksohtml620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ksohtml6208\wps3.png"/>
                    <pic:cNvPicPr>
                      <a:picLocks noChangeAspect="1" noChangeArrowheads="1"/>
                    </pic:cNvPicPr>
                  </pic:nvPicPr>
                  <pic:blipFill>
                    <a:blip r:embed="rId6"/>
                    <a:srcRect/>
                    <a:stretch>
                      <a:fillRect/>
                    </a:stretch>
                  </pic:blipFill>
                  <pic:spPr>
                    <a:xfrm>
                      <a:off x="0" y="0"/>
                      <a:ext cx="5266690" cy="395033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autoSpaceDE w:val="0"/>
        <w:spacing w:line="280" w:lineRule="exact"/>
        <w:jc w:val="center"/>
        <w:rPr>
          <w:rFonts w:ascii="楷体" w:hAnsi="楷体" w:eastAsia="楷体"/>
          <w:sz w:val="28"/>
          <w:szCs w:val="28"/>
        </w:rPr>
      </w:pPr>
      <w:r>
        <w:rPr>
          <w:rFonts w:hint="eastAsia" w:ascii="楷体" w:hAnsi="楷体" w:eastAsia="楷体"/>
          <w:sz w:val="28"/>
          <w:szCs w:val="28"/>
        </w:rPr>
        <w:t>汽车检测维修小组负责人向学生介绍专业赛项及培训思路、发展方向</w:t>
      </w:r>
    </w:p>
    <w:p>
      <w:pPr>
        <w:jc w:val="center"/>
        <w:rPr>
          <w:rFonts w:hint="eastAsia" w:ascii="仿宋_GB2312" w:hAnsi="仿宋_GB2312"/>
          <w:sz w:val="32"/>
          <w:szCs w:val="32"/>
        </w:rPr>
      </w:pPr>
      <w:r>
        <w:rPr>
          <w:rFonts w:ascii="仿宋_GB2312" w:hAnsi="仿宋_GB2312"/>
          <w:sz w:val="32"/>
          <w:szCs w:val="32"/>
        </w:rPr>
        <w:t xml:space="preserve"> </w:t>
      </w:r>
    </w:p>
    <w:p>
      <w:pPr>
        <w:ind w:firstLine="640"/>
        <w:jc w:val="left"/>
        <w:rPr>
          <w:rFonts w:ascii="仿宋_GB2312" w:hAnsi="仿宋_GB2312"/>
          <w:sz w:val="32"/>
          <w:szCs w:val="32"/>
        </w:rPr>
      </w:pPr>
      <w:r>
        <w:rPr>
          <w:rFonts w:ascii="仿宋_GB2312" w:hAnsi="仿宋_GB2312"/>
          <w:sz w:val="32"/>
          <w:szCs w:val="32"/>
        </w:rPr>
        <w:t>11月8日，经济管理系举办了师生书画、展板设计、摄影和绘画作品展示活动。现场，师生泼墨挥毫，书画作品受到在场观摩教师和同学们的一致好评。此次活动陶冶了师生情操，增强了师生合作意识，展现了师生才艺，加强了师生交流。</w:t>
      </w:r>
    </w:p>
    <w:p>
      <w:pPr>
        <w:jc w:val="center"/>
        <w:rPr>
          <w:rFonts w:ascii="仿宋_GB2312" w:hAnsi="仿宋_GB2312"/>
          <w:b/>
          <w:bCs/>
          <w:sz w:val="32"/>
          <w:szCs w:val="32"/>
        </w:rPr>
      </w:pPr>
      <w:r>
        <w:drawing>
          <wp:inline distT="0" distB="0" distL="0" distR="0">
            <wp:extent cx="5266690" cy="3511550"/>
            <wp:effectExtent l="19050" t="0" r="0" b="0"/>
            <wp:docPr id="4" name="图片 4" descr="C:\Users\ADMINI~1\AppData\Local\Temp\ksohtml6208\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ksohtml6208\wps4.png"/>
                    <pic:cNvPicPr>
                      <a:picLocks noChangeAspect="1" noChangeArrowheads="1"/>
                    </pic:cNvPicPr>
                  </pic:nvPicPr>
                  <pic:blipFill>
                    <a:blip r:embed="rId7"/>
                    <a:srcRect/>
                    <a:stretch>
                      <a:fillRect/>
                    </a:stretch>
                  </pic:blipFill>
                  <pic:spPr>
                    <a:xfrm>
                      <a:off x="0" y="0"/>
                      <a:ext cx="5266690" cy="3511550"/>
                    </a:xfrm>
                    <a:prstGeom prst="rect">
                      <a:avLst/>
                    </a:prstGeom>
                    <a:noFill/>
                    <a:ln w="9525">
                      <a:noFill/>
                      <a:miter lim="800000"/>
                      <a:headEnd/>
                      <a:tailEnd/>
                    </a:ln>
                  </pic:spPr>
                </pic:pic>
              </a:graphicData>
            </a:graphic>
          </wp:inline>
        </w:drawing>
      </w:r>
      <w:r>
        <w:rPr>
          <w:rFonts w:ascii="仿宋_GB2312" w:hAnsi="仿宋_GB2312"/>
          <w:b/>
          <w:bCs/>
          <w:sz w:val="32"/>
          <w:szCs w:val="32"/>
        </w:rPr>
        <w:t xml:space="preserve"> </w:t>
      </w:r>
    </w:p>
    <w:p>
      <w:pPr>
        <w:jc w:val="center"/>
        <w:rPr>
          <w:rFonts w:ascii="楷体" w:hAnsi="楷体" w:eastAsia="楷体"/>
          <w:sz w:val="28"/>
          <w:szCs w:val="28"/>
        </w:rPr>
      </w:pPr>
      <w:r>
        <w:rPr>
          <w:rFonts w:hint="eastAsia" w:ascii="楷体" w:hAnsi="楷体" w:eastAsia="楷体"/>
          <w:sz w:val="28"/>
          <w:szCs w:val="28"/>
        </w:rPr>
        <w:t>经管系教师孙涛泼墨挥毫</w:t>
      </w:r>
    </w:p>
    <w:p>
      <w:pPr>
        <w:jc w:val="center"/>
        <w:rPr>
          <w:rFonts w:hint="eastAsia" w:ascii="仿宋_GB2312" w:hAnsi="仿宋_GB2312"/>
          <w:b/>
          <w:bCs/>
          <w:sz w:val="32"/>
          <w:szCs w:val="32"/>
        </w:rPr>
      </w:pPr>
      <w:r>
        <w:drawing>
          <wp:inline distT="0" distB="0" distL="0" distR="0">
            <wp:extent cx="5266690" cy="3950335"/>
            <wp:effectExtent l="19050" t="0" r="0" b="0"/>
            <wp:docPr id="5" name="图片 5" descr="C:\Users\ADMINI~1\AppData\Local\Temp\ksohtml620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sohtml6208\wps5.png"/>
                    <pic:cNvPicPr>
                      <a:picLocks noChangeAspect="1" noChangeArrowheads="1"/>
                    </pic:cNvPicPr>
                  </pic:nvPicPr>
                  <pic:blipFill>
                    <a:blip r:embed="rId8"/>
                    <a:srcRect/>
                    <a:stretch>
                      <a:fillRect/>
                    </a:stretch>
                  </pic:blipFill>
                  <pic:spPr>
                    <a:xfrm>
                      <a:off x="0" y="0"/>
                      <a:ext cx="5266690" cy="3950335"/>
                    </a:xfrm>
                    <a:prstGeom prst="rect">
                      <a:avLst/>
                    </a:prstGeom>
                    <a:noFill/>
                    <a:ln w="9525">
                      <a:noFill/>
                      <a:miter lim="800000"/>
                      <a:headEnd/>
                      <a:tailEnd/>
                    </a:ln>
                  </pic:spPr>
                </pic:pic>
              </a:graphicData>
            </a:graphic>
          </wp:inline>
        </w:drawing>
      </w:r>
      <w:r>
        <w:rPr>
          <w:rFonts w:hint="eastAsia" w:ascii="楷体" w:hAnsi="楷体" w:eastAsia="楷体"/>
          <w:sz w:val="28"/>
          <w:szCs w:val="28"/>
        </w:rPr>
        <w:t>经管系学生现场书写</w:t>
      </w:r>
    </w:p>
    <w:p>
      <w:pPr>
        <w:jc w:val="center"/>
        <w:rPr>
          <w:rFonts w:ascii="仿宋_GB2312" w:hAnsi="仿宋_GB2312"/>
          <w:b/>
          <w:bCs/>
          <w:sz w:val="32"/>
          <w:szCs w:val="32"/>
        </w:rPr>
      </w:pPr>
      <w:r>
        <w:drawing>
          <wp:inline distT="0" distB="0" distL="0" distR="0">
            <wp:extent cx="5266690" cy="3511550"/>
            <wp:effectExtent l="19050" t="0" r="0" b="0"/>
            <wp:docPr id="6" name="图片 6" descr="C:\Users\ADMINI~1\AppData\Local\Temp\ksohtml6208\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sohtml6208\wps6.png"/>
                    <pic:cNvPicPr>
                      <a:picLocks noChangeAspect="1" noChangeArrowheads="1"/>
                    </pic:cNvPicPr>
                  </pic:nvPicPr>
                  <pic:blipFill>
                    <a:blip r:embed="rId9"/>
                    <a:srcRect/>
                    <a:stretch>
                      <a:fillRect/>
                    </a:stretch>
                  </pic:blipFill>
                  <pic:spPr>
                    <a:xfrm>
                      <a:off x="0" y="0"/>
                      <a:ext cx="5266690" cy="3511550"/>
                    </a:xfrm>
                    <a:prstGeom prst="rect">
                      <a:avLst/>
                    </a:prstGeom>
                    <a:noFill/>
                    <a:ln w="9525">
                      <a:noFill/>
                      <a:miter lim="800000"/>
                      <a:headEnd/>
                      <a:tailEnd/>
                    </a:ln>
                  </pic:spPr>
                </pic:pic>
              </a:graphicData>
            </a:graphic>
          </wp:inline>
        </w:drawing>
      </w:r>
      <w:r>
        <w:rPr>
          <w:rFonts w:ascii="仿宋_GB2312" w:hAnsi="仿宋_GB2312"/>
          <w:b/>
          <w:bCs/>
          <w:sz w:val="32"/>
          <w:szCs w:val="32"/>
        </w:rPr>
        <w:t xml:space="preserve"> </w:t>
      </w:r>
    </w:p>
    <w:p>
      <w:pPr>
        <w:jc w:val="center"/>
        <w:rPr>
          <w:rFonts w:ascii="楷体" w:hAnsi="楷体" w:eastAsia="楷体"/>
          <w:sz w:val="28"/>
          <w:szCs w:val="28"/>
        </w:rPr>
      </w:pPr>
      <w:r>
        <w:rPr>
          <w:rFonts w:hint="eastAsia" w:ascii="楷体" w:hAnsi="楷体" w:eastAsia="楷体"/>
          <w:sz w:val="28"/>
          <w:szCs w:val="28"/>
        </w:rPr>
        <w:t>学院领导赵彦军、毛文辉亲临现场观摩师生书画、摄影作品</w:t>
      </w:r>
    </w:p>
    <w:p>
      <w:pPr>
        <w:jc w:val="center"/>
        <w:rPr>
          <w:rFonts w:hint="eastAsia" w:ascii="仿宋_GB2312" w:hAnsi="仿宋_GB2312"/>
          <w:sz w:val="32"/>
          <w:szCs w:val="32"/>
        </w:rPr>
      </w:pPr>
      <w:r>
        <w:rPr>
          <w:rFonts w:ascii="仿宋_GB2312" w:hAnsi="仿宋_GB2312"/>
          <w:sz w:val="32"/>
          <w:szCs w:val="32"/>
        </w:rPr>
        <w:t xml:space="preserve"> </w:t>
      </w:r>
    </w:p>
    <w:p>
      <w:pPr>
        <w:jc w:val="left"/>
        <w:rPr>
          <w:rFonts w:ascii="仿宋_GB2312" w:hAnsi="仿宋_GB2312"/>
          <w:sz w:val="32"/>
          <w:szCs w:val="32"/>
        </w:rPr>
      </w:pPr>
      <w:r>
        <w:rPr>
          <w:rFonts w:ascii="仿宋_GB2312" w:hAnsi="仿宋_GB2312"/>
          <w:sz w:val="32"/>
          <w:szCs w:val="32"/>
        </w:rPr>
        <w:t xml:space="preserve">  11月8日晚，车辆工程系组织学生收看了《大国工匠》系列宣传片。观影后，同学们积极的讨论着工匠们的事迹，纷纷表示要学习大国工匠们务实敬业的精神，增强自身的工匠意识，脚踏实地地、任劳任怨，倡导要把工匠精神真正的带到实际行动中来，做到内化于心，外化于行。</w:t>
      </w:r>
    </w:p>
    <w:p>
      <w:pPr>
        <w:jc w:val="left"/>
        <w:rPr>
          <w:rFonts w:ascii="仿宋_GB2312" w:hAnsi="仿宋_GB2312"/>
          <w:sz w:val="32"/>
          <w:szCs w:val="32"/>
        </w:rPr>
      </w:pPr>
      <w:r>
        <w:drawing>
          <wp:inline distT="0" distB="0" distL="0" distR="0">
            <wp:extent cx="5266690" cy="3511550"/>
            <wp:effectExtent l="19050" t="0" r="0" b="0"/>
            <wp:docPr id="7" name="图片 7" descr="C:\Users\ADMINI~1\AppData\Local\Temp\ksohtml6208\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6208\wps7.jpg"/>
                    <pic:cNvPicPr>
                      <a:picLocks noChangeAspect="1" noChangeArrowheads="1"/>
                    </pic:cNvPicPr>
                  </pic:nvPicPr>
                  <pic:blipFill>
                    <a:blip r:embed="rId10"/>
                    <a:srcRect/>
                    <a:stretch>
                      <a:fillRect/>
                    </a:stretch>
                  </pic:blipFill>
                  <pic:spPr>
                    <a:xfrm>
                      <a:off x="0" y="0"/>
                      <a:ext cx="5266690" cy="351155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jc w:val="center"/>
        <w:rPr>
          <w:rFonts w:ascii="楷体" w:hAnsi="楷体" w:eastAsia="楷体"/>
          <w:sz w:val="28"/>
          <w:szCs w:val="28"/>
        </w:rPr>
      </w:pPr>
      <w:r>
        <w:rPr>
          <w:rFonts w:hint="eastAsia" w:ascii="楷体" w:hAnsi="楷体" w:eastAsia="楷体"/>
          <w:sz w:val="28"/>
          <w:szCs w:val="28"/>
        </w:rPr>
        <w:t>学生收看了《大国工匠》系列宣传片</w:t>
      </w:r>
    </w:p>
    <w:p>
      <w:pPr>
        <w:jc w:val="center"/>
        <w:rPr>
          <w:rFonts w:hint="eastAsia" w:ascii="仿宋_GB2312" w:hAnsi="仿宋_GB2312"/>
          <w:sz w:val="32"/>
          <w:szCs w:val="32"/>
        </w:rPr>
      </w:pPr>
      <w:r>
        <w:rPr>
          <w:rFonts w:ascii="仿宋_GB2312" w:hAnsi="仿宋_GB2312"/>
          <w:sz w:val="32"/>
          <w:szCs w:val="32"/>
        </w:rPr>
        <w:t xml:space="preserve"> </w:t>
      </w:r>
    </w:p>
    <w:p>
      <w:pPr>
        <w:jc w:val="center"/>
        <w:rPr>
          <w:rFonts w:ascii="仿宋_GB2312" w:hAnsi="仿宋_GB2312"/>
          <w:sz w:val="32"/>
          <w:szCs w:val="32"/>
        </w:rPr>
      </w:pPr>
      <w:r>
        <w:rPr>
          <w:rFonts w:ascii="仿宋_GB2312" w:hAnsi="仿宋_GB2312"/>
          <w:sz w:val="32"/>
          <w:szCs w:val="32"/>
        </w:rPr>
        <w:t xml:space="preserve"> </w:t>
      </w:r>
    </w:p>
    <w:p>
      <w:pPr>
        <w:jc w:val="center"/>
        <w:rPr>
          <w:rFonts w:ascii="仿宋_GB2312" w:hAnsi="仿宋_GB2312"/>
          <w:sz w:val="32"/>
          <w:szCs w:val="32"/>
        </w:rPr>
      </w:pPr>
      <w:r>
        <w:rPr>
          <w:rFonts w:ascii="仿宋_GB2312" w:hAnsi="仿宋_GB2312"/>
          <w:sz w:val="32"/>
          <w:szCs w:val="32"/>
        </w:rPr>
        <w:t xml:space="preserve"> </w:t>
      </w:r>
    </w:p>
    <w:p>
      <w:pPr>
        <w:jc w:val="center"/>
        <w:rPr>
          <w:rFonts w:ascii="仿宋_GB2312" w:hAnsi="仿宋_GB2312"/>
          <w:sz w:val="32"/>
          <w:szCs w:val="32"/>
        </w:rPr>
      </w:pPr>
      <w:r>
        <w:rPr>
          <w:rFonts w:ascii="仿宋_GB2312" w:hAnsi="仿宋_GB2312"/>
          <w:sz w:val="32"/>
          <w:szCs w:val="32"/>
        </w:rPr>
        <w:t xml:space="preserve"> </w:t>
      </w:r>
    </w:p>
    <w:p>
      <w:pPr>
        <w:jc w:val="center"/>
        <w:rPr>
          <w:rFonts w:ascii="仿宋_GB2312" w:hAnsi="仿宋_GB2312"/>
          <w:sz w:val="32"/>
          <w:szCs w:val="32"/>
        </w:rPr>
      </w:pPr>
      <w:r>
        <w:rPr>
          <w:rFonts w:ascii="仿宋_GB2312" w:hAnsi="仿宋_GB2312"/>
          <w:sz w:val="32"/>
          <w:szCs w:val="32"/>
        </w:rPr>
        <w:t xml:space="preserve"> </w:t>
      </w:r>
    </w:p>
    <w:p>
      <w:pPr>
        <w:jc w:val="center"/>
        <w:rPr>
          <w:rFonts w:ascii="仿宋_GB2312" w:hAnsi="仿宋_GB2312"/>
          <w:sz w:val="32"/>
          <w:szCs w:val="32"/>
        </w:rPr>
      </w:pPr>
      <w:r>
        <w:rPr>
          <w:rFonts w:ascii="仿宋_GB2312" w:hAnsi="仿宋_GB2312"/>
          <w:sz w:val="32"/>
          <w:szCs w:val="32"/>
        </w:rPr>
        <w:t xml:space="preserve"> </w:t>
      </w:r>
    </w:p>
    <w:p>
      <w:pPr>
        <w:jc w:val="center"/>
        <w:rPr>
          <w:rFonts w:ascii="仿宋_GB2312" w:hAnsi="仿宋_GB2312"/>
          <w:b/>
          <w:bCs/>
          <w:sz w:val="32"/>
          <w:szCs w:val="32"/>
        </w:rPr>
      </w:pPr>
      <w:r>
        <w:rPr>
          <w:rFonts w:ascii="仿宋_GB2312" w:hAnsi="仿宋_GB2312"/>
          <w:b/>
          <w:bCs/>
          <w:sz w:val="32"/>
          <w:szCs w:val="32"/>
        </w:rPr>
        <w:t xml:space="preserve"> </w:t>
      </w:r>
    </w:p>
    <w:p>
      <w:pPr>
        <w:jc w:val="center"/>
        <w:rPr>
          <w:rFonts w:ascii="仿宋_GB2312" w:hAnsi="仿宋_GB2312"/>
          <w:b/>
          <w:bCs/>
          <w:sz w:val="32"/>
          <w:szCs w:val="32"/>
        </w:rPr>
      </w:pPr>
      <w:r>
        <w:rPr>
          <w:rFonts w:ascii="仿宋_GB2312" w:hAnsi="仿宋_GB2312"/>
          <w:b/>
          <w:bCs/>
          <w:sz w:val="32"/>
          <w:szCs w:val="32"/>
        </w:rPr>
        <w:t>（二）</w:t>
      </w:r>
    </w:p>
    <w:p>
      <w:pPr>
        <w:ind w:firstLine="640" w:firstLineChars="200"/>
        <w:jc w:val="left"/>
        <w:rPr>
          <w:rFonts w:ascii="仿宋_GB2312" w:hAnsi="仿宋_GB2312"/>
          <w:sz w:val="32"/>
          <w:szCs w:val="32"/>
        </w:rPr>
      </w:pPr>
      <w:r>
        <w:rPr>
          <w:rFonts w:ascii="仿宋_GB2312" w:hAnsi="仿宋_GB2312"/>
          <w:sz w:val="32"/>
          <w:szCs w:val="32"/>
        </w:rPr>
        <w:t>11月9日，学院智能控制系由教研室统一组织，开展了职业教育系列活动之一：专业介绍及实训室观摩。</w:t>
      </w:r>
    </w:p>
    <w:p>
      <w:pPr>
        <w:ind w:firstLine="640" w:firstLineChars="200"/>
        <w:jc w:val="left"/>
        <w:rPr>
          <w:rFonts w:ascii="仿宋_GB2312" w:hAnsi="仿宋_GB2312"/>
          <w:sz w:val="32"/>
          <w:szCs w:val="32"/>
        </w:rPr>
      </w:pPr>
      <w:r>
        <w:rPr>
          <w:rFonts w:ascii="仿宋_GB2312" w:hAnsi="仿宋_GB2312"/>
          <w:sz w:val="32"/>
          <w:szCs w:val="32"/>
        </w:rPr>
        <w:t>在专业介绍活动中，相关专业负责人结合专业人才培养方案，从学生学情、学科专业现状、人才培养方案及定位、课程体系和实践教学、专业课程一体化等方面对各专业展开介绍。随后的实训室观摩中，系部教师参观了电气工程系实训室，在两个多小时的时间，大家系统了解了实训实践基地的装置仪器、工作原理及操作流程，对学院实训教学设施设备有了新的认识。纷纷表示，在今后的工作中，努力做好自己的本职工作，为学院的发展贡献一份力量。</w:t>
      </w:r>
    </w:p>
    <w:p>
      <w:pPr>
        <w:jc w:val="center"/>
        <w:rPr>
          <w:rFonts w:ascii="仿宋_GB2312" w:hAnsi="仿宋_GB2312"/>
          <w:b/>
          <w:bCs/>
          <w:sz w:val="32"/>
          <w:szCs w:val="32"/>
        </w:rPr>
      </w:pPr>
      <w:r>
        <w:drawing>
          <wp:inline distT="0" distB="0" distL="0" distR="0">
            <wp:extent cx="5266690" cy="3511550"/>
            <wp:effectExtent l="19050" t="0" r="0" b="0"/>
            <wp:docPr id="8" name="图片 8" descr="C:\Users\ADMINI~1\AppData\Local\Temp\ksohtml6208\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ksohtml6208\wps8.jpg"/>
                    <pic:cNvPicPr>
                      <a:picLocks noChangeAspect="1" noChangeArrowheads="1"/>
                    </pic:cNvPicPr>
                  </pic:nvPicPr>
                  <pic:blipFill>
                    <a:blip r:embed="rId11"/>
                    <a:srcRect/>
                    <a:stretch>
                      <a:fillRect/>
                    </a:stretch>
                  </pic:blipFill>
                  <pic:spPr>
                    <a:xfrm>
                      <a:off x="0" y="0"/>
                      <a:ext cx="5266690" cy="3511550"/>
                    </a:xfrm>
                    <a:prstGeom prst="rect">
                      <a:avLst/>
                    </a:prstGeom>
                    <a:noFill/>
                    <a:ln w="9525">
                      <a:noFill/>
                      <a:miter lim="800000"/>
                      <a:headEnd/>
                      <a:tailEnd/>
                    </a:ln>
                  </pic:spPr>
                </pic:pic>
              </a:graphicData>
            </a:graphic>
          </wp:inline>
        </w:drawing>
      </w:r>
      <w:r>
        <w:rPr>
          <w:rFonts w:ascii="仿宋_GB2312" w:hAnsi="仿宋_GB2312"/>
          <w:b/>
          <w:bCs/>
          <w:sz w:val="32"/>
          <w:szCs w:val="32"/>
        </w:rPr>
        <w:t xml:space="preserve"> </w:t>
      </w:r>
    </w:p>
    <w:p>
      <w:pPr>
        <w:jc w:val="center"/>
        <w:rPr>
          <w:rFonts w:ascii="楷体" w:hAnsi="楷体" w:eastAsia="楷体"/>
          <w:sz w:val="28"/>
          <w:szCs w:val="28"/>
        </w:rPr>
      </w:pPr>
      <w:r>
        <w:rPr>
          <w:rFonts w:hint="eastAsia" w:ascii="楷体" w:hAnsi="楷体" w:eastAsia="楷体"/>
          <w:sz w:val="28"/>
          <w:szCs w:val="28"/>
        </w:rPr>
        <w:t>专业负责人为新进教师介绍专业</w:t>
      </w:r>
    </w:p>
    <w:p>
      <w:pPr>
        <w:jc w:val="center"/>
        <w:rPr>
          <w:rFonts w:hint="eastAsia" w:ascii="仿宋_GB2312" w:hAnsi="仿宋_GB2312"/>
          <w:b/>
          <w:bCs/>
          <w:sz w:val="32"/>
          <w:szCs w:val="32"/>
        </w:rPr>
      </w:pPr>
      <w:r>
        <w:rPr>
          <w:rFonts w:ascii="仿宋_GB2312" w:hAnsi="仿宋_GB2312"/>
          <w:b/>
          <w:bCs/>
          <w:sz w:val="32"/>
          <w:szCs w:val="32"/>
        </w:rPr>
        <w:t xml:space="preserve"> </w:t>
      </w:r>
    </w:p>
    <w:p>
      <w:pPr>
        <w:jc w:val="center"/>
        <w:rPr>
          <w:rFonts w:ascii="仿宋_GB2312" w:hAnsi="仿宋_GB2312"/>
          <w:b/>
          <w:bCs/>
          <w:sz w:val="32"/>
          <w:szCs w:val="32"/>
        </w:rPr>
      </w:pPr>
      <w:r>
        <w:drawing>
          <wp:inline distT="0" distB="0" distL="0" distR="0">
            <wp:extent cx="5266690" cy="3511550"/>
            <wp:effectExtent l="19050" t="0" r="0" b="0"/>
            <wp:docPr id="9" name="图片 9" descr="C:\Users\ADMINI~1\AppData\Local\Temp\ksohtml6208\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ksohtml6208\wps9.jpg"/>
                    <pic:cNvPicPr>
                      <a:picLocks noChangeAspect="1" noChangeArrowheads="1"/>
                    </pic:cNvPicPr>
                  </pic:nvPicPr>
                  <pic:blipFill>
                    <a:blip r:embed="rId12"/>
                    <a:srcRect/>
                    <a:stretch>
                      <a:fillRect/>
                    </a:stretch>
                  </pic:blipFill>
                  <pic:spPr>
                    <a:xfrm>
                      <a:off x="0" y="0"/>
                      <a:ext cx="5266690" cy="3511550"/>
                    </a:xfrm>
                    <a:prstGeom prst="rect">
                      <a:avLst/>
                    </a:prstGeom>
                    <a:noFill/>
                    <a:ln w="9525">
                      <a:noFill/>
                      <a:miter lim="800000"/>
                      <a:headEnd/>
                      <a:tailEnd/>
                    </a:ln>
                  </pic:spPr>
                </pic:pic>
              </a:graphicData>
            </a:graphic>
          </wp:inline>
        </w:drawing>
      </w:r>
      <w:r>
        <w:rPr>
          <w:rFonts w:ascii="仿宋_GB2312" w:hAnsi="仿宋_GB2312"/>
          <w:b/>
          <w:bCs/>
          <w:sz w:val="32"/>
          <w:szCs w:val="32"/>
        </w:rPr>
        <w:t xml:space="preserve"> </w:t>
      </w:r>
    </w:p>
    <w:p>
      <w:pPr>
        <w:jc w:val="center"/>
        <w:rPr>
          <w:rFonts w:ascii="楷体" w:hAnsi="楷体" w:eastAsia="楷体"/>
          <w:sz w:val="28"/>
          <w:szCs w:val="28"/>
        </w:rPr>
      </w:pPr>
      <w:r>
        <w:rPr>
          <w:rFonts w:hint="eastAsia" w:ascii="楷体" w:hAnsi="楷体" w:eastAsia="楷体"/>
          <w:sz w:val="28"/>
          <w:szCs w:val="28"/>
        </w:rPr>
        <w:t>师生观摩实训室</w:t>
      </w:r>
    </w:p>
    <w:p>
      <w:pPr>
        <w:jc w:val="center"/>
        <w:rPr>
          <w:rFonts w:hint="eastAsia" w:ascii="仿宋_GB2312" w:hAnsi="仿宋_GB2312"/>
          <w:b/>
          <w:bCs/>
          <w:sz w:val="32"/>
          <w:szCs w:val="32"/>
        </w:rPr>
      </w:pPr>
      <w:r>
        <w:rPr>
          <w:rFonts w:ascii="仿宋_GB2312" w:hAnsi="仿宋_GB2312"/>
          <w:b/>
          <w:bCs/>
          <w:sz w:val="32"/>
          <w:szCs w:val="32"/>
        </w:rPr>
        <w:t xml:space="preserve"> </w:t>
      </w:r>
    </w:p>
    <w:p>
      <w:pPr>
        <w:jc w:val="center"/>
        <w:rPr>
          <w:rFonts w:ascii="仿宋_GB2312" w:hAnsi="仿宋_GB2312"/>
          <w:sz w:val="32"/>
          <w:szCs w:val="32"/>
        </w:rPr>
      </w:pPr>
      <w:r>
        <w:rPr>
          <w:rFonts w:ascii="仿宋_GB2312" w:hAnsi="仿宋_GB2312"/>
          <w:b/>
          <w:bCs/>
          <w:sz w:val="32"/>
          <w:szCs w:val="32"/>
        </w:rPr>
        <w:t>（三）</w:t>
      </w:r>
    </w:p>
    <w:p>
      <w:pPr>
        <w:ind w:firstLine="640"/>
        <w:jc w:val="left"/>
        <w:rPr>
          <w:rFonts w:ascii="仿宋_GB2312" w:hAnsi="仿宋_GB2312"/>
          <w:sz w:val="32"/>
          <w:szCs w:val="32"/>
        </w:rPr>
      </w:pPr>
      <w:r>
        <w:rPr>
          <w:rFonts w:ascii="仿宋_GB2312" w:hAnsi="仿宋_GB2312"/>
          <w:sz w:val="32"/>
          <w:szCs w:val="32"/>
        </w:rPr>
        <w:t>11月9日下午，学院质量管理处督导员走进机械工程系开展积极教学法创新及教学方法创新推进调研活动。</w:t>
      </w:r>
    </w:p>
    <w:p>
      <w:pPr>
        <w:ind w:firstLine="640"/>
        <w:jc w:val="left"/>
        <w:rPr>
          <w:rFonts w:ascii="仿宋_GB2312" w:hAnsi="仿宋_GB2312"/>
          <w:sz w:val="32"/>
          <w:szCs w:val="32"/>
        </w:rPr>
      </w:pPr>
      <w:r>
        <w:rPr>
          <w:rFonts w:ascii="仿宋_GB2312" w:hAnsi="仿宋_GB2312"/>
          <w:sz w:val="32"/>
          <w:szCs w:val="32"/>
        </w:rPr>
        <w:t>调研期间，督导员与教师和教学管理人员围绕积极教学法怎样在课堂上提高学生的学习兴趣、怎样才能产生良好有效地互动、是否所有课程采用积极教学法及师生是否适应积极教学法等内容进行了深入交流，提出了意见，有效促进了基于能力本位的积极教学法和模块化课程改革在学院更好的实施和应用。</w:t>
      </w:r>
    </w:p>
    <w:p>
      <w:pPr>
        <w:ind w:firstLine="640"/>
        <w:jc w:val="left"/>
        <w:rPr>
          <w:rFonts w:ascii="仿宋_GB2312" w:hAnsi="仿宋_GB2312"/>
          <w:sz w:val="32"/>
          <w:szCs w:val="32"/>
        </w:rPr>
      </w:pPr>
      <w:r>
        <w:rPr>
          <w:rFonts w:ascii="仿宋_GB2312" w:hAnsi="仿宋_GB2312"/>
          <w:sz w:val="32"/>
          <w:szCs w:val="32"/>
        </w:rPr>
        <w:t xml:space="preserve"> </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A2E53"/>
    <w:rsid w:val="008E636C"/>
    <w:rsid w:val="00EA2E53"/>
    <w:rsid w:val="1C3402A4"/>
    <w:rsid w:val="35B61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172</Words>
  <Characters>985</Characters>
  <Lines>8</Lines>
  <Paragraphs>2</Paragraphs>
  <TotalTime>5</TotalTime>
  <ScaleCrop>false</ScaleCrop>
  <LinksUpToDate>false</LinksUpToDate>
  <CharactersWithSpaces>1155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2020-11-10T01:37:00Z</dcterms:created>
  <dc:creator>Sky123.Org</dc:creator>
  <cp:lastModifiedBy>Administrator</cp:lastModifiedBy>
  <dcterms:modified xsi:type="dcterms:W3CDTF">2020-11-10T07:39:43Z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